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Alat: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Pipet 1 mL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Tips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Metode: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Keluarkan BHP dari freezer dan kulkas, rendam dalam water bath 37°C, lalu keringkan.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bahan dan alat ke BSC.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Buang medium lama dalam t-flask ke botol waste.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 ke dalam t-flask, gerakkan t-flask membentuk angka delapan agar seluruh sel terkena PBS, buang PBS ke dalam botol waste.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PBS-PS ke dalam t-flask, gerakkan t-flask membentuk angka delapan agar seluruh sel terkena PBS-PS, buang PBS-PS ke dalam botol waste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Trypsin-EDTA (TE) 1X ke dalam t-flask, gerakkan t-flask membentuk angka delapan agar seluruh sel terkena TE 1X, ambil kembali TE 1X sebanyak 950 µL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t-flask ke dalam inkubator selama 2 menit.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Cek kondisi sel menggunakan inverted microscope, lalu ketuk-ketuk t-flask pada meja hingga sel terlepas.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kembali t-flask ke dalam BSC.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complete medium ke dalam t-flask.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Pindahkan sebagian sel yang tersuspensi dalam complete medium ke dalam well plate.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Cek kondisi sel dalam t-flask dan well plate menggunakan inverted microscope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t-flask dan well plate ke inkubator sebelum melakukan protokol uji selanjutnya.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41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Cell Harvesting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5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46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7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8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9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A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C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D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gdH7RlZ2RecQfbSvhtirYQI+w==">CgMxLjA4AHIhMVpsaHAwLS12eno1bkZDeFBzRzEwQTN1Ri1xaGp6T1lE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