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Pengertian: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93"/>
              <w:jc w:val="both"/>
              <w:rPr>
                <w:rFonts w:ascii="Arial" w:cs="Arial" w:eastAsia="Arial" w:hAnsi="Arial"/>
                <w:b w:val="0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Staining sampel untuk pengamatan ROS dengan mikroskop confocal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Tujuan: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93" w:hanging="4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Memberikan petunjuk kepada petugas laboratorium mengenai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staining ROS pada adherent cells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93" w:hanging="4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Menjamin pemeriksaan laboratorium dilakukan sesuai prosedur</w:t>
            </w:r>
          </w:p>
          <w:p w:rsidR="00000000" w:rsidDel="00000000" w:rsidP="00000000" w:rsidRDefault="00000000" w:rsidRPr="00000000" w14:paraId="00000028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Prosedur: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BAHAN HABIS PAKAI: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Coverslip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Poly-L-lysine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2.5% Glutaraldehyde in PBS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4% Osmium Tetroxide (OsO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70%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80%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90%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Ethanol 100%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Hexamethyldisilazane (HMDS)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Whatman filter 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672"/>
              </w:tabs>
              <w:ind w:left="672" w:right="93" w:firstLine="0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CATATAN SEBELUM MEMULAI PROSEDUR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preparasi harus dilakukan di dalam BSC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Pastikan untuk memisahkan limbah toksik sisa OsO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Pastikan sampel dalam keadaan kering sebelum melanjutkan ke proses berikutnya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672"/>
              </w:tabs>
              <w:ind w:right="93"/>
              <w:jc w:val="both"/>
              <w:rPr>
                <w:rFonts w:ascii="Arial" w:cs="Arial" w:eastAsia="Arial" w:hAnsi="Arial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  <w:rtl w:val="0"/>
              </w:rPr>
              <w:t xml:space="preserve">PREPARASI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COVERSLIP: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Bersihkan coverslip menggunakan ethanol 70%.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Poly-L-lysine ke atas coverslip hingga seluruh bagian tertutupi, inkubasi 15 menit, suhu ruang, kemudian aspirate sisa poly-L-lysine.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Cuci coverslip 3x dengan PBS.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ethanol 70%, tunggu hingga kering.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both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Coverslip siap digunakan untuk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seeding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sel atau preparasi kromosom.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1260"/>
              </w:tabs>
              <w:ind w:right="9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PREPARASI SAMPEL SEM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Wash PBS 3x 5 menit.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2.5% Glutaraldehyde in PBS sebanyak 1000 μL ke atas sampel pada coverslip. Inkubasi 30 menit pada suhu ruang.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Aspirate sisa glutaraldehyde, serap dengan filter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PBS, inkubasi 5 menit, kemudian keringkan. Lakukan tahap pencucian PBS sebanyak 3x.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OsO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Inkubasi 15 menit. Aspirate sisa osmium, keringkan dengan filter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PBS, inkubasi 5 menit, kemudian keringkan. Lakukan tahap pencucian PBS sebanyak 3x.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ethanol 70%, inkubasi 5 menit, kemudian keringkan dengan filter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ethanol 80%, inkubasi 5 menit, kemudian keringkan dengan filter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1000 μL ethanol 90%, inkubasi 5 menit, kemudian keringkan dengan filter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ethanol 100%, inkubasi 10 menit, kemudian keringkan dengan filter paper.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Tambahkan 500 μL HMDS, tunggu hingga kering.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89" w:right="93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Simpan sampel SEM dalam desiccator.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Bahan berbahaya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93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Lihat MSDS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material safety data sheet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Kewaspadaan keselamatan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prosedur kewaspadaan standar dalam menangani semua sampel dan reagen laboratorium.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Melaksanakan prosedur penanganan limbah laboratorium terhadap semua bahan bekas pemeriksaan.</w:t>
            </w:r>
          </w:p>
          <w:p w:rsidR="00000000" w:rsidDel="00000000" w:rsidP="00000000" w:rsidRDefault="00000000" w:rsidRPr="00000000" w14:paraId="00000057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Prosedur/ dokument terkait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Penggunaan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BSC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Keselamatan Kerja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Pembuangan limbah ICEMBIO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3"/>
              </w:tabs>
              <w:spacing w:after="0" w:before="0" w:line="240" w:lineRule="auto"/>
              <w:ind w:left="720" w:right="93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SOP Pemeliharaan dan Kalibrasi peralatan laboratorium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93"/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Rujukan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744"/>
              </w:tabs>
              <w:spacing w:after="0" w:before="0" w:line="240" w:lineRule="auto"/>
              <w:ind w:left="0" w:right="9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7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PREPARASI SAMPEL SEM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B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6C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D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6E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7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7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73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6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ind w:left="0" w:firstLine="0"/>
      <w:jc w:val="left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ind w:left="0" w:firstLine="0"/>
      <w:jc w:val="left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ind w:left="0" w:firstLine="0"/>
      <w:jc w:val="left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ind w:left="0" w:firstLine="0"/>
      <w:jc w:val="left"/>
    </w:pPr>
    <w:rPr>
      <w:rFonts w:ascii="Calibri" w:cs="Calibri" w:eastAsia="Calibri" w:hAnsi="Calibri"/>
      <w:color w:val="000000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4dpo3pH46NrwWQACD9spBjLbvA==">CgMxLjA4AHIhMTQ4QzBjNU5JbXphN2thYlJPSWxia0lKWHVsUVVvYWdm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